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1D" w:rsidRPr="00D74C1D" w:rsidRDefault="00D74C1D" w:rsidP="00D74C1D">
      <w:pPr>
        <w:shd w:val="clear" w:color="auto" w:fill="F6F7F8"/>
        <w:spacing w:after="0" w:line="240" w:lineRule="auto"/>
        <w:outlineLvl w:val="1"/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</w:pPr>
      <w:bookmarkStart w:id="0" w:name="_GoBack"/>
      <w:bookmarkEnd w:id="0"/>
      <w:r w:rsidRPr="00D74C1D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>Сергей Глазьев: Как не оказаться в ловушке «догоняющего развития» и воспользоваться «окном возможностей».</w:t>
      </w:r>
    </w:p>
    <w:p w:rsidR="00D74C1D" w:rsidRDefault="00BE3B83" w:rsidP="00D74C1D">
      <w:r>
        <w:rPr>
          <w:noProof/>
          <w:lang w:eastAsia="ru-RU"/>
        </w:rPr>
        <w:drawing>
          <wp:inline distT="0" distB="0" distL="0" distR="0">
            <wp:extent cx="5940425" cy="3963847"/>
            <wp:effectExtent l="0" t="0" r="3175" b="0"/>
            <wp:docPr id="1" name="Рисунок 1" descr="C:\Users\daut9\Downloads\Глазь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ut9\Downloads\Глазьев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1D" w:rsidRDefault="00D74C1D" w:rsidP="00D74C1D">
      <w:r>
        <w:t>Все сферы экономической политики и регулирования должны способствовать наращиванию инвестиций в перспективных направлениях развития экономики. Тогда и темпы роста будут на уровне Китая и Индии"- считает академик РАН Сергей Глазьев </w:t>
      </w:r>
    </w:p>
    <w:p w:rsidR="00D74C1D" w:rsidRDefault="00D74C1D" w:rsidP="00D74C1D">
      <w:r>
        <w:t>Как не оказаться в ловушке «догоняющего развития» и воспользоваться «окном возможностей» для долгожданного рывка в экономическом развитии России, рассказал академик Российской Академии Наук Сергей Глазьев. Эксперт убежден, что реализация стратегии опережающего развития экономики позволит выйти на новый уровень прогресса. Подробностями он поделился в интервью, подготовленное в преддверии Московского Экономического Форума, который состоится 1 – 2 апреля 2025 года в Цифровом деловом пространстве в Москве (Покровка, 47).</w:t>
      </w:r>
    </w:p>
    <w:p w:rsidR="00D74C1D" w:rsidRDefault="00D74C1D" w:rsidP="00D74C1D">
      <w:r>
        <w:t>– Сергей Юрьевич, каковы ключевые элементы экономической стратегии России в условиях глобальных вызовов?</w:t>
      </w:r>
    </w:p>
    <w:p w:rsidR="00D74C1D" w:rsidRDefault="00D74C1D" w:rsidP="00D74C1D">
      <w:r>
        <w:t xml:space="preserve">– Давайте определимся, что в качестве основного мирового вызова следует  считать смену технологических и мирохозяйственных укладов.  Она сопровождается технологической революцией и кардинальным изменением национальных и международных систем управления экономическим развитием. Страны, которые отстанут с созданием базовых производств нового технологического уклада, окажутся в ловушке «догоняющего развития» и пробудут </w:t>
      </w:r>
      <w:proofErr w:type="gramStart"/>
      <w:r>
        <w:t>там</w:t>
      </w:r>
      <w:proofErr w:type="gramEnd"/>
      <w:r>
        <w:t xml:space="preserve"> около четверти века до следующей смены технологических укладов – нового «окна возможностей» для совершения рывка</w:t>
      </w:r>
      <w:r w:rsidR="00BE3B83">
        <w:t xml:space="preserve"> в экономическом развитии.</w:t>
      </w:r>
    </w:p>
    <w:p w:rsidR="00D74C1D" w:rsidRDefault="00D74C1D" w:rsidP="00D74C1D">
      <w:r>
        <w:lastRenderedPageBreak/>
        <w:t xml:space="preserve">Россия имеет научно-технический потенциал в ряде высокотехнологических отраслей. Если его активно использовать, то ещё можно надеяться на совершение такого рывка. Для этого необходимо реализовать стратегию опережающего развития экономики, которая многократно </w:t>
      </w:r>
      <w:proofErr w:type="gramStart"/>
      <w:r>
        <w:t>обсуждалась и будет рассматриваться</w:t>
      </w:r>
      <w:proofErr w:type="gramEnd"/>
      <w:r>
        <w:t xml:space="preserve"> на МЭФ. Для её выполнения нужно утроить расходы на научно-исследовательские и опытно-конструкторские работы (НИОКР) и наращивать инвестиции в модернизацию и развитие производственной сферы на 15-20% в год. Это обеспечит ежегодный прирост ВВП на 8%. Поддержание таких темпов роста предполагает переход к принципиально новой системе управления развитием экономики. Она будет сочетать в себе стратегическое планирование, целевое кредитование перспективных производств, государственно-частное партнерство и регулирование рыночных отношений. Её главная цель – рост общественного благосостояния, всемерное стимулирование инвестиционной и инновационной активности и валютный контроль в целях пресечения утечки капитала.</w:t>
      </w:r>
    </w:p>
    <w:p w:rsidR="00D74C1D" w:rsidRDefault="00D74C1D" w:rsidP="00D74C1D">
      <w:r>
        <w:t xml:space="preserve">Сейчас пытаются реализовать отдельные элементы подобного подхода. Разрабатываются документы стратегического планирования, ставятся задачи импортозамещения и технологического суверенитета. Но в то же время проводится архаичная денежная политика, которая лишает экономику кредита. Демонтируется </w:t>
      </w:r>
      <w:proofErr w:type="gramStart"/>
      <w:r>
        <w:t>контроль за</w:t>
      </w:r>
      <w:proofErr w:type="gramEnd"/>
      <w:r>
        <w:t xml:space="preserve"> качеством импортных товаров. Продолжается колоссальный вывоз капитала. Правильные декларации обесцениваются отсутствием инструментов их реализации. Как привести их в соответствие, обсудим на МЭФ-2025.</w:t>
      </w:r>
    </w:p>
    <w:p w:rsidR="00D74C1D" w:rsidRDefault="00D74C1D" w:rsidP="00D74C1D">
      <w:r>
        <w:t>– Какие регионы мира, по вашему мнению, стали наиболее важными для экономического сотрудничества России? Как вы оцениваете роль России в многосторонних организациях, таких как БРИКС и ШОС?</w:t>
      </w:r>
    </w:p>
    <w:p w:rsidR="00D74C1D" w:rsidRDefault="00D74C1D" w:rsidP="00D74C1D">
      <w:r>
        <w:t xml:space="preserve">– Экономика адаптируется к текущим вызовам стихийно ввиду отсутствия механизмов реализации декларируемых целей и введения санкций со стороны недружественных стран. В качестве основного торгово-экономического партнера место Европейского союза (ЕС) занял Китай (на его долю приходится около половины всего нашего внешнеторгового оборота). Экономика переориентируется с </w:t>
      </w:r>
      <w:proofErr w:type="gramStart"/>
      <w:r>
        <w:t>европейско-американской</w:t>
      </w:r>
      <w:proofErr w:type="gramEnd"/>
      <w:r>
        <w:t xml:space="preserve"> на китайскую технологическую базу. Быстро растет торговля с Индией и Ираном. Ускоряется рост взаимной торговли в Евразийском экономическом сообществе (ЕАЭС).</w:t>
      </w:r>
    </w:p>
    <w:p w:rsidR="00D74C1D" w:rsidRDefault="00D74C1D" w:rsidP="00D74C1D">
      <w:r>
        <w:t xml:space="preserve">С переходом к новому мирохозяйственному укладу центр мировой экономики перемещается в Восточную и Южную Азию. Американский вековой системный цикл накопления капитала сменяется </w:t>
      </w:r>
      <w:proofErr w:type="gramStart"/>
      <w:r>
        <w:t>азиатским</w:t>
      </w:r>
      <w:proofErr w:type="gramEnd"/>
      <w:r>
        <w:t>.</w:t>
      </w:r>
    </w:p>
    <w:p w:rsidR="00D74C1D" w:rsidRDefault="00D74C1D" w:rsidP="00D74C1D">
      <w:r>
        <w:t>Переориентация российской экономики с Запада на Восток и Юг является закономерным процессом, который резко ускорился в связи с санкциями недружественных стран.</w:t>
      </w:r>
    </w:p>
    <w:p w:rsidR="00D74C1D" w:rsidRDefault="00D74C1D" w:rsidP="00D74C1D">
      <w:r>
        <w:t>К сожалению, смена географии не сопровождается сменой структуры торговли. Из сырьевого придатка ЕС мы становимся сырьевым придатком Китая и Индии. При наличии собственной стратегии опережающего развития Россия могла бы войти в ядро нового мирохозяйственного уклада, двумя полюсами которого сейчас становятся Китай и Индия.</w:t>
      </w:r>
    </w:p>
    <w:p w:rsidR="00D74C1D" w:rsidRDefault="00D74C1D" w:rsidP="00D74C1D">
      <w:r>
        <w:t>Страны БРИКС и ШОС ждут от нас инициатив в создании новой архитектуры международных торгово-экономических и валютно-финансовых отношений, которые включают переход к защищенным от санкций платежным системам, введение новой мировой расчетной цифровой валюты, создание пользующегося доверием международного кредитно-рейтингового агентства.</w:t>
      </w:r>
    </w:p>
    <w:p w:rsidR="00D74C1D" w:rsidRDefault="00D74C1D" w:rsidP="00D74C1D">
      <w:r>
        <w:lastRenderedPageBreak/>
        <w:t>– Как вы считаете, какой должна быть стратегия России в ближайшие два десятилетия? Какие ключевые факторы определят её успешность в меняющемся мире?</w:t>
      </w:r>
    </w:p>
    <w:p w:rsidR="00D74C1D" w:rsidRDefault="00D74C1D" w:rsidP="00D74C1D">
      <w:r>
        <w:t>– Я уже упомянул необходимость перехода к стратегии опережающего развития. Нужен форсированный (на 50% в год) рост производств нового технологического уклада, ядро которого составляет комплекс нан</w:t>
      </w:r>
      <w:proofErr w:type="gramStart"/>
      <w:r>
        <w:t>о-</w:t>
      </w:r>
      <w:proofErr w:type="gramEnd"/>
      <w:r>
        <w:t xml:space="preserve">, биоинженерных, информационно-коммуникационных, аддитивных и цифровых технологий. Важно динамически наверстывать технологическое отставание и обеспечивать рост производства на 25% в год в отраслях с передовым техническим уровнем (атомная, ракетно-космическая, авиационная промышленность, железнодорожное машиностроение и некоторые другие отрасли высокотехнологической промышленности). Возможен кратный рост производства продукции </w:t>
      </w:r>
      <w:proofErr w:type="spellStart"/>
      <w:r>
        <w:t>нефт</w:t>
      </w:r>
      <w:proofErr w:type="gramStart"/>
      <w:r>
        <w:t>е</w:t>
      </w:r>
      <w:proofErr w:type="spellEnd"/>
      <w:r>
        <w:t>-</w:t>
      </w:r>
      <w:proofErr w:type="gramEnd"/>
      <w:r>
        <w:t>, газо-, лесохимии на собственной сырьевой базе –за счет углубления и комплексности переработки сырья. Необходимо догоняющее развитие в отраслях с сильным технологическим отставанием (автомобиле- и судостроение). Требуется всемерное увеличение инновационной активности.</w:t>
      </w:r>
    </w:p>
    <w:p w:rsidR="00D74C1D" w:rsidRDefault="00D74C1D" w:rsidP="00D74C1D">
      <w:r>
        <w:t>Для реализации этой стратегии нужна принципиально более эффективная система управления развитием экономики, чем сейчас. Все сферы экономической политики и регулирования, включая денежно-кредитную политику, должны способствовать наращиванию инвестиций в перспективных направлениях развития экономики, как это делается в успешно развивающихся странах. Тогда и темпы рост</w:t>
      </w:r>
      <w:r w:rsidR="00BE3B83">
        <w:t>а будут на уровне Китая и Индии.</w:t>
      </w:r>
    </w:p>
    <w:p w:rsidR="00D74C1D" w:rsidRDefault="00D74C1D" w:rsidP="00D74C1D">
      <w:r>
        <w:t>– Расскажите про основные направления переделов мирового развития и новый мирохозяйственный уклад, на чем он будет основан?</w:t>
      </w:r>
    </w:p>
    <w:p w:rsidR="00D74C1D" w:rsidRDefault="00D74C1D" w:rsidP="00D74C1D">
      <w:r>
        <w:t>– Новый мирохозяйственный уклад мы назвали интегральным, воспользовавшись предсказанием Питирима Сорокина. Полвека назад социолог предвидел появление интегрального строя, свободного от недостатков советского социализма, американского капитализма и сочетающего их достоинства.</w:t>
      </w:r>
    </w:p>
    <w:p w:rsidR="00D74C1D" w:rsidRDefault="00D74C1D" w:rsidP="00D74C1D">
      <w:r>
        <w:t>Интегральный мирохозяйственный уклад объединяет социалистическую идеологию, рыночную конкуренцию и следование национальным интересам во внешнеэкономической деятельности. Интересы общества важнее частных. Экономика регулируется в целях роста народного благосостояния. Государство поддерживает предприятия в той мере, в которой их работа способствует росту народного благосостояния и национальной конкурентоспособности. Вывоз капитала ограничивается полезными для национальной экономики проектами.</w:t>
      </w:r>
    </w:p>
    <w:p w:rsidR="00D74C1D" w:rsidRDefault="00D74C1D" w:rsidP="00D74C1D">
      <w:r>
        <w:t xml:space="preserve">Китайское и индийское экономические чудеса обеспечило сочетание: централизованного стратегического планирования и рыночной конкуренции предприятий; государственного </w:t>
      </w:r>
      <w:proofErr w:type="gramStart"/>
      <w:r>
        <w:t>контроля за</w:t>
      </w:r>
      <w:proofErr w:type="gramEnd"/>
      <w:r>
        <w:t xml:space="preserve"> денежным обращением и частной инициативы; государственно-частного партнерства в целях повышения общественного благосостояния. Китай и Индия сформировали биполярное ядро нового мирохозяйственного уклада благодаря более эффективной системе управления социально-экономическим развитием. До конца нынешнего столетия они будут производить большую часть мирового ВВП.</w:t>
      </w:r>
    </w:p>
    <w:p w:rsidR="00D74C1D" w:rsidRDefault="00D74C1D" w:rsidP="00D74C1D">
      <w:r>
        <w:t>– На Московском экономическом форуме вы выступите на пленарной дискуссии «Меняющийся мир. Стратегия России». Как вы считаете, какая главная мысль станет лейтмотивом встречи?</w:t>
      </w:r>
    </w:p>
    <w:p w:rsidR="00D74C1D" w:rsidRDefault="00D74C1D" w:rsidP="00D74C1D">
      <w:r>
        <w:t xml:space="preserve">– Как и на </w:t>
      </w:r>
      <w:proofErr w:type="gramStart"/>
      <w:r>
        <w:t>предыдущих</w:t>
      </w:r>
      <w:proofErr w:type="gramEnd"/>
      <w:r>
        <w:t xml:space="preserve"> МЭФ, речь пойдет о необходимости кардинального изменения макроэкономической политики, приведении ее в соответствие с необходимостью опережающего </w:t>
      </w:r>
      <w:r>
        <w:lastRenderedPageBreak/>
        <w:t>развития экономики, мобилизации имеющегося научно-производственного потенциала для долгожданного рывка в развитии экономики и победы в мировой гибридной войне.</w:t>
      </w:r>
    </w:p>
    <w:p w:rsidR="00D74C1D" w:rsidRDefault="00D74C1D" w:rsidP="00D74C1D">
      <w:r>
        <w:t>– Что пожелаете Московскому экономическому форуму и его организаторам?</w:t>
      </w:r>
    </w:p>
    <w:p w:rsidR="00994468" w:rsidRDefault="00D74C1D" w:rsidP="00D74C1D">
      <w:r>
        <w:t>– Воплощения рекомендаций МЭФ в жизнь.</w:t>
      </w:r>
    </w:p>
    <w:sectPr w:rsidR="00994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1D"/>
    <w:rsid w:val="00994468"/>
    <w:rsid w:val="00BE3B83"/>
    <w:rsid w:val="00D7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4C1D"/>
    <w:rPr>
      <w:color w:val="0000FF"/>
      <w:u w:val="single"/>
    </w:rPr>
  </w:style>
  <w:style w:type="character" w:customStyle="1" w:styleId="ya-unit-domain">
    <w:name w:val="ya-unit-domain"/>
    <w:basedOn w:val="a0"/>
    <w:rsid w:val="00D74C1D"/>
  </w:style>
  <w:style w:type="character" w:customStyle="1" w:styleId="ya-unit-category">
    <w:name w:val="ya-unit-category"/>
    <w:basedOn w:val="a0"/>
    <w:rsid w:val="00D74C1D"/>
  </w:style>
  <w:style w:type="paragraph" w:styleId="a4">
    <w:name w:val="Balloon Text"/>
    <w:basedOn w:val="a"/>
    <w:link w:val="a5"/>
    <w:uiPriority w:val="99"/>
    <w:semiHidden/>
    <w:unhideWhenUsed/>
    <w:rsid w:val="00BE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4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74C1D"/>
    <w:rPr>
      <w:color w:val="0000FF"/>
      <w:u w:val="single"/>
    </w:rPr>
  </w:style>
  <w:style w:type="character" w:customStyle="1" w:styleId="ya-unit-domain">
    <w:name w:val="ya-unit-domain"/>
    <w:basedOn w:val="a0"/>
    <w:rsid w:val="00D74C1D"/>
  </w:style>
  <w:style w:type="character" w:customStyle="1" w:styleId="ya-unit-category">
    <w:name w:val="ya-unit-category"/>
    <w:basedOn w:val="a0"/>
    <w:rsid w:val="00D74C1D"/>
  </w:style>
  <w:style w:type="paragraph" w:styleId="a4">
    <w:name w:val="Balloon Text"/>
    <w:basedOn w:val="a"/>
    <w:link w:val="a5"/>
    <w:uiPriority w:val="99"/>
    <w:semiHidden/>
    <w:unhideWhenUsed/>
    <w:rsid w:val="00BE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2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1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6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6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983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0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72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70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80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987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839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4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63826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36470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89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7342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447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1350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4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941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0722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3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1809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920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72699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993722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2403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46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88795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8558224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1237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2</cp:revision>
  <dcterms:created xsi:type="dcterms:W3CDTF">2025-03-17T14:30:00Z</dcterms:created>
  <dcterms:modified xsi:type="dcterms:W3CDTF">2025-03-18T06:35:00Z</dcterms:modified>
</cp:coreProperties>
</file>